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974" w:rsidRDefault="0066538C">
      <w:bookmarkStart w:id="0" w:name="_GoBack"/>
      <w:bookmarkEnd w:id="0"/>
      <w:r>
        <w:rPr>
          <w:noProof/>
        </w:rPr>
        <mc:AlternateContent>
          <mc:Choice Requires="wps">
            <w:drawing>
              <wp:anchor distT="0" distB="0" distL="114300" distR="114300" simplePos="0" relativeHeight="251663360" behindDoc="0" locked="0" layoutInCell="1" allowOverlap="1" wp14:anchorId="4E86BAF3" wp14:editId="21BED61E">
                <wp:simplePos x="0" y="0"/>
                <wp:positionH relativeFrom="column">
                  <wp:posOffset>276225</wp:posOffset>
                </wp:positionH>
                <wp:positionV relativeFrom="paragraph">
                  <wp:posOffset>-535940</wp:posOffset>
                </wp:positionV>
                <wp:extent cx="4886325" cy="895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895350"/>
                        </a:xfrm>
                        <a:prstGeom prst="rect">
                          <a:avLst/>
                        </a:prstGeom>
                        <a:noFill/>
                        <a:ln w="9525">
                          <a:noFill/>
                          <a:miter lim="800000"/>
                          <a:headEnd/>
                          <a:tailEnd/>
                        </a:ln>
                      </wps:spPr>
                      <wps:txbx>
                        <w:txbxContent>
                          <w:p w:rsidR="00620774" w:rsidRPr="00EA5A5E" w:rsidRDefault="00190C61" w:rsidP="00661CB5">
                            <w:pPr>
                              <w:spacing w:after="0" w:line="240" w:lineRule="auto"/>
                              <w:jc w:val="center"/>
                              <w:rPr>
                                <w:rFonts w:ascii="Calibri" w:eastAsia="Times New Roman" w:hAnsi="Calibri" w:cs="Estrangelo Edessa"/>
                                <w:b/>
                                <w:color w:val="365F91" w:themeColor="accent1" w:themeShade="BF"/>
                                <w:sz w:val="52"/>
                                <w:szCs w:val="52"/>
                              </w:rPr>
                            </w:pPr>
                            <w:r w:rsidRPr="00EA5A5E">
                              <w:rPr>
                                <w:rFonts w:ascii="Calibri" w:eastAsia="Times New Roman" w:hAnsi="Calibri" w:cs="Estrangelo Edessa"/>
                                <w:b/>
                                <w:color w:val="365F91" w:themeColor="accent1" w:themeShade="BF"/>
                                <w:sz w:val="52"/>
                                <w:szCs w:val="52"/>
                              </w:rPr>
                              <w:t>Legislative Policy Advisory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6BAF3" id="_x0000_t202" coordsize="21600,21600" o:spt="202" path="m,l,21600r21600,l21600,xe">
                <v:stroke joinstyle="miter"/>
                <v:path gradientshapeok="t" o:connecttype="rect"/>
              </v:shapetype>
              <v:shape id="Text Box 2" o:spid="_x0000_s1026" type="#_x0000_t202" style="position:absolute;margin-left:21.75pt;margin-top:-42.2pt;width:384.7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" filled="f" stroked="f">
                <v:textbox>
                  <w:txbxContent>
                    <w:p w:rsidR="00620774" w:rsidRPr="00EA5A5E" w:rsidRDefault="00190C61" w:rsidP="00661CB5">
                      <w:pPr>
                        <w:spacing w:after="0" w:line="240" w:lineRule="auto"/>
                        <w:jc w:val="center"/>
                        <w:rPr>
                          <w:rFonts w:ascii="Calibri" w:eastAsia="Times New Roman" w:hAnsi="Calibri" w:cs="Estrangelo Edessa"/>
                          <w:b/>
                          <w:color w:val="365F91" w:themeColor="accent1" w:themeShade="BF"/>
                          <w:sz w:val="52"/>
                          <w:szCs w:val="52"/>
                        </w:rPr>
                      </w:pPr>
                      <w:r w:rsidRPr="00EA5A5E">
                        <w:rPr>
                          <w:rFonts w:ascii="Calibri" w:eastAsia="Times New Roman" w:hAnsi="Calibri" w:cs="Estrangelo Edessa"/>
                          <w:b/>
                          <w:color w:val="365F91" w:themeColor="accent1" w:themeShade="BF"/>
                          <w:sz w:val="52"/>
                          <w:szCs w:val="52"/>
                        </w:rPr>
                        <w:t>Legislative Policy Advisory</w:t>
                      </w:r>
                    </w:p>
                  </w:txbxContent>
                </v:textbox>
              </v:shape>
            </w:pict>
          </mc:Fallback>
        </mc:AlternateContent>
      </w:r>
      <w:r>
        <w:rPr>
          <w:noProof/>
        </w:rPr>
        <w:drawing>
          <wp:anchor distT="0" distB="0" distL="114300" distR="114300" simplePos="0" relativeHeight="251672576" behindDoc="1" locked="0" layoutInCell="1" allowOverlap="1" wp14:anchorId="05E5F192" wp14:editId="6171318C">
            <wp:simplePos x="0" y="0"/>
            <wp:positionH relativeFrom="margin">
              <wp:posOffset>-104775</wp:posOffset>
            </wp:positionH>
            <wp:positionV relativeFrom="margin">
              <wp:posOffset>-521970</wp:posOffset>
            </wp:positionV>
            <wp:extent cx="685800" cy="510540"/>
            <wp:effectExtent l="0" t="0" r="0" b="3810"/>
            <wp:wrapThrough wrapText="bothSides">
              <wp:wrapPolygon edited="0">
                <wp:start x="3000" y="0"/>
                <wp:lineTo x="0" y="3224"/>
                <wp:lineTo x="0" y="16925"/>
                <wp:lineTo x="2400" y="20955"/>
                <wp:lineTo x="18600" y="20955"/>
                <wp:lineTo x="21000" y="17731"/>
                <wp:lineTo x="21000" y="3224"/>
                <wp:lineTo x="18000" y="0"/>
                <wp:lineTo x="3000" y="0"/>
              </wp:wrapPolygon>
            </wp:wrapThrough>
            <wp:docPr id="9" name="Picture 9" descr="http://www.floridarealtyteam.com/images/NewsImage_nareb-logo-g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idarealtyteam.com/images/NewsImage_nareb-logo-gold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18800" b="81867" l="5467" r="92933">
                                  <a14:foregroundMark x1="38533" y1="33867" x2="38533" y2="33867"/>
                                  <a14:foregroundMark x1="29200" y1="30667" x2="29200" y2="30667"/>
                                  <a14:foregroundMark x1="25200" y1="44133" x2="25200" y2="44133"/>
                                  <a14:foregroundMark x1="30667" y1="41733" x2="30667" y2="41733"/>
                                  <a14:foregroundMark x1="35467" y1="40933" x2="35467" y2="40933"/>
                                  <a14:foregroundMark x1="43333" y1="39333" x2="43333" y2="39333"/>
                                  <a14:foregroundMark x1="62933" y1="74000" x2="62933" y2="74000"/>
                                </a14:backgroundRemoval>
                              </a14:imgEffect>
                              <a14:imgEffect>
                                <a14:colorTemperature colorTemp="7000"/>
                              </a14:imgEffect>
                            </a14:imgLayer>
                          </a14:imgProps>
                        </a:ext>
                        <a:ext uri="{28A0092B-C50C-407E-A947-70E740481C1C}">
                          <a14:useLocalDpi xmlns:a14="http://schemas.microsoft.com/office/drawing/2010/main" val="0"/>
                        </a:ext>
                      </a:extLst>
                    </a:blip>
                    <a:srcRect l="6299" t="15749" r="7087" b="19685"/>
                    <a:stretch/>
                  </pic:blipFill>
                  <pic:spPr bwMode="auto">
                    <a:xfrm>
                      <a:off x="0" y="0"/>
                      <a:ext cx="685800" cy="51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BC3">
        <w:rPr>
          <w:rFonts w:ascii="Arial" w:hAnsi="Arial" w:cs="Arial"/>
          <w:noProof/>
        </w:rPr>
        <w:drawing>
          <wp:anchor distT="0" distB="0" distL="114300" distR="114300" simplePos="0" relativeHeight="251669504" behindDoc="0" locked="0" layoutInCell="1" allowOverlap="1" wp14:anchorId="29784CDD" wp14:editId="07298CDC">
            <wp:simplePos x="0" y="0"/>
            <wp:positionH relativeFrom="column">
              <wp:posOffset>6153151</wp:posOffset>
            </wp:positionH>
            <wp:positionV relativeFrom="paragraph">
              <wp:posOffset>-702855</wp:posOffset>
            </wp:positionV>
            <wp:extent cx="876300" cy="10933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hoto_Capitol_Building_3161867.jpg"/>
                    <pic:cNvPicPr/>
                  </pic:nvPicPr>
                  <pic:blipFill rotWithShape="1">
                    <a:blip r:embed="rId10" cstate="print">
                      <a:extLst>
                        <a:ext uri="{BEBA8EAE-BF5A-486C-A8C5-ECC9F3942E4B}">
                          <a14:imgProps xmlns:a14="http://schemas.microsoft.com/office/drawing/2010/main">
                            <a14:imgLayer r:embed="rId11">
                              <a14:imgEffect>
                                <a14:backgroundRemoval t="42274" b="88721" l="46538" r="73103">
                                  <a14:foregroundMark x1="58522" y1="47069" x2="58522" y2="47069"/>
                                  <a14:foregroundMark x1="58522" y1="50710" x2="58522" y2="50710"/>
                                  <a14:foregroundMark x1="58189" y1="49645" x2="58189" y2="49645"/>
                                  <a14:foregroundMark x1="58788" y1="52931" x2="58788" y2="52931"/>
                                  <a14:foregroundMark x1="59321" y1="49290" x2="59321" y2="49290"/>
                                  <a14:foregroundMark x1="58189" y1="47513" x2="58189" y2="47513"/>
                                </a14:backgroundRemoval>
                              </a14:imgEffect>
                              <a14:imgEffect>
                                <a14:artisticPhotocopy/>
                              </a14:imgEffect>
                            </a14:imgLayer>
                          </a14:imgProps>
                        </a:ext>
                        <a:ext uri="{28A0092B-C50C-407E-A947-70E740481C1C}">
                          <a14:useLocalDpi xmlns:a14="http://schemas.microsoft.com/office/drawing/2010/main" val="0"/>
                        </a:ext>
                      </a:extLst>
                    </a:blip>
                    <a:srcRect l="45192" t="40598" r="25000" b="9829"/>
                    <a:stretch/>
                  </pic:blipFill>
                  <pic:spPr bwMode="auto">
                    <a:xfrm>
                      <a:off x="0" y="0"/>
                      <a:ext cx="880281" cy="1098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BC3">
        <w:rPr>
          <w:rFonts w:ascii="Arial" w:hAnsi="Arial" w:cs="Arial"/>
          <w:noProof/>
        </w:rPr>
        <w:t xml:space="preserve">                                                                                                                                             </w:t>
      </w:r>
      <w:r w:rsidR="00EF3974">
        <w:rPr>
          <w:noProof/>
        </w:rPr>
        <w:drawing>
          <wp:anchor distT="0" distB="0" distL="114300" distR="114300" simplePos="0" relativeHeight="251660287" behindDoc="1" locked="0" layoutInCell="1" allowOverlap="1" wp14:anchorId="4112467C" wp14:editId="7526D923">
            <wp:simplePos x="0" y="0"/>
            <wp:positionH relativeFrom="column">
              <wp:posOffset>-457200</wp:posOffset>
            </wp:positionH>
            <wp:positionV relativeFrom="paragraph">
              <wp:posOffset>-908050</wp:posOffset>
            </wp:positionV>
            <wp:extent cx="7772400" cy="1343025"/>
            <wp:effectExtent l="0" t="0" r="0" b="9525"/>
            <wp:wrapNone/>
            <wp:docPr id="11" name="Picture 11"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_Pg3"/>
                    <pic:cNvPicPr>
                      <a:picLocks noChangeAspect="1" noChangeArrowheads="1"/>
                    </pic:cNvPicPr>
                  </pic:nvPicPr>
                  <pic:blipFill rotWithShape="1">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b="86647"/>
                    <a:stretch/>
                  </pic:blipFill>
                  <pic:spPr bwMode="auto">
                    <a:xfrm>
                      <a:off x="0" y="0"/>
                      <a:ext cx="777240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672B" w:rsidRDefault="00DD672B" w:rsidP="00DD672B">
      <w:pPr>
        <w:spacing w:after="160" w:line="259" w:lineRule="auto"/>
        <w:jc w:val="center"/>
        <w:rPr>
          <w:b/>
          <w:sz w:val="28"/>
          <w:szCs w:val="28"/>
        </w:rPr>
      </w:pPr>
    </w:p>
    <w:p w:rsidR="00DD672B" w:rsidRPr="00DD672B" w:rsidRDefault="00DD672B" w:rsidP="00DD672B">
      <w:pPr>
        <w:spacing w:after="160" w:line="259" w:lineRule="auto"/>
        <w:jc w:val="center"/>
        <w:rPr>
          <w:b/>
          <w:sz w:val="28"/>
          <w:szCs w:val="28"/>
        </w:rPr>
      </w:pPr>
      <w:r w:rsidRPr="00DD672B">
        <w:rPr>
          <w:b/>
          <w:sz w:val="28"/>
          <w:szCs w:val="28"/>
        </w:rPr>
        <w:t>Current NPL Practices Need Reform</w:t>
      </w:r>
    </w:p>
    <w:p w:rsidR="00D66CAF" w:rsidRPr="00D66CAF" w:rsidRDefault="00D66CAF" w:rsidP="00D66CAF">
      <w:pPr>
        <w:spacing w:after="160" w:line="259" w:lineRule="auto"/>
        <w:rPr>
          <w:b/>
          <w:sz w:val="24"/>
          <w:szCs w:val="24"/>
          <w:u w:val="single"/>
        </w:rPr>
      </w:pPr>
      <w:r w:rsidRPr="00D66CAF">
        <w:rPr>
          <w:b/>
          <w:sz w:val="24"/>
          <w:szCs w:val="24"/>
          <w:u w:val="single"/>
        </w:rPr>
        <w:t>Issue</w:t>
      </w:r>
    </w:p>
    <w:p w:rsidR="00D66CAF" w:rsidRPr="00D66CAF" w:rsidRDefault="00D66CAF" w:rsidP="00D66CAF">
      <w:pPr>
        <w:spacing w:after="160" w:line="240" w:lineRule="auto"/>
        <w:jc w:val="both"/>
        <w:rPr>
          <w:sz w:val="24"/>
          <w:szCs w:val="24"/>
        </w:rPr>
      </w:pPr>
      <w:r w:rsidRPr="00D66CAF">
        <w:rPr>
          <w:sz w:val="24"/>
          <w:szCs w:val="24"/>
        </w:rPr>
        <w:t xml:space="preserve">Continued and more robust efforts are needed to reform practices related to the disposal of non-performing loans (NPL) to stabilize inner-city communities and prevent untimely foreclosures and ensure the fair and reasonable participation of non-profits and minority and women-owned businesses. </w:t>
      </w:r>
    </w:p>
    <w:p w:rsidR="00D66CAF" w:rsidRPr="00617B8F" w:rsidRDefault="00D66CAF" w:rsidP="00D66CAF">
      <w:pPr>
        <w:spacing w:after="160" w:line="259" w:lineRule="auto"/>
        <w:rPr>
          <w:b/>
          <w:sz w:val="24"/>
          <w:szCs w:val="24"/>
          <w:u w:val="single"/>
        </w:rPr>
      </w:pPr>
      <w:r w:rsidRPr="00617B8F">
        <w:rPr>
          <w:b/>
          <w:sz w:val="24"/>
          <w:szCs w:val="24"/>
          <w:u w:val="single"/>
        </w:rPr>
        <w:t>Why NAREB is Concerned</w:t>
      </w:r>
    </w:p>
    <w:p w:rsidR="00D66CAF" w:rsidRPr="00D66CAF" w:rsidRDefault="00D66CAF" w:rsidP="00D66CAF">
      <w:pPr>
        <w:shd w:val="clear" w:color="auto" w:fill="FFFFFF"/>
        <w:spacing w:after="160" w:line="240" w:lineRule="auto"/>
        <w:jc w:val="both"/>
        <w:rPr>
          <w:rFonts w:eastAsia="Times New Roman" w:cs="Helvetica"/>
          <w:color w:val="000000"/>
        </w:rPr>
      </w:pPr>
      <w:r w:rsidRPr="00D66CAF">
        <w:rPr>
          <w:rFonts w:eastAsia="Times New Roman" w:cs="Helvetica"/>
          <w:color w:val="000000"/>
        </w:rPr>
        <w:t xml:space="preserve">Fannie Mae is on its third NPL sale: the first was in April of 3000 loans with an unpaid balance of approximately </w:t>
      </w:r>
      <w:r>
        <w:rPr>
          <w:rFonts w:eastAsia="Times New Roman" w:cs="Helvetica"/>
          <w:color w:val="000000"/>
        </w:rPr>
        <w:t>$</w:t>
      </w:r>
      <w:r w:rsidRPr="00D66CAF">
        <w:rPr>
          <w:rFonts w:eastAsia="Times New Roman" w:cs="Helvetica"/>
          <w:color w:val="000000"/>
        </w:rPr>
        <w:t xml:space="preserve">762 million; the second was completed on September with 3900 loans and an unpaid balance of approximately </w:t>
      </w:r>
      <w:r>
        <w:rPr>
          <w:rFonts w:eastAsia="Times New Roman" w:cs="Helvetica"/>
          <w:color w:val="000000"/>
        </w:rPr>
        <w:t>$</w:t>
      </w:r>
      <w:r w:rsidRPr="00D66CAF">
        <w:rPr>
          <w:rFonts w:eastAsia="Times New Roman" w:cs="Helvetica"/>
          <w:color w:val="000000"/>
        </w:rPr>
        <w:t>765 million and the newest sale was offered on October 9th with 7000 loans totaling approximately</w:t>
      </w:r>
      <w:r>
        <w:rPr>
          <w:rFonts w:eastAsia="Times New Roman" w:cs="Helvetica"/>
          <w:color w:val="000000"/>
        </w:rPr>
        <w:t xml:space="preserve"> $</w:t>
      </w:r>
      <w:r w:rsidRPr="00D66CAF">
        <w:rPr>
          <w:rFonts w:eastAsia="Times New Roman" w:cs="Helvetica"/>
          <w:color w:val="000000"/>
        </w:rPr>
        <w:t xml:space="preserve">1.2 </w:t>
      </w:r>
      <w:r>
        <w:rPr>
          <w:rFonts w:eastAsia="Times New Roman" w:cs="Helvetica"/>
          <w:color w:val="000000"/>
        </w:rPr>
        <w:t>b</w:t>
      </w:r>
      <w:r w:rsidRPr="00D66CAF">
        <w:rPr>
          <w:rFonts w:eastAsia="Times New Roman" w:cs="Helvetica"/>
          <w:color w:val="000000"/>
        </w:rPr>
        <w:t>illion</w:t>
      </w:r>
      <w:r>
        <w:rPr>
          <w:rFonts w:eastAsia="Times New Roman" w:cs="Helvetica"/>
          <w:color w:val="000000"/>
        </w:rPr>
        <w:t>.</w:t>
      </w:r>
    </w:p>
    <w:p w:rsidR="00D66CAF" w:rsidRPr="00D66CAF" w:rsidRDefault="00D66CAF" w:rsidP="00D66CAF">
      <w:pPr>
        <w:shd w:val="clear" w:color="auto" w:fill="FFFFFF"/>
        <w:spacing w:after="160" w:line="240" w:lineRule="auto"/>
        <w:jc w:val="both"/>
        <w:rPr>
          <w:rFonts w:eastAsia="Times New Roman" w:cs="Helvetica"/>
          <w:color w:val="000000"/>
        </w:rPr>
      </w:pPr>
      <w:r w:rsidRPr="00D66CAF">
        <w:rPr>
          <w:rFonts w:eastAsia="Times New Roman" w:cs="Helvetica"/>
          <w:color w:val="000000"/>
        </w:rPr>
        <w:t>The volume and frequency of NPL sales are increasing.  It is critical for proactive steps to be taken to provide non-profits and others sufficient “First Look” opportunities, prior to private investors having an opportunity to capitalize on the sales.</w:t>
      </w:r>
    </w:p>
    <w:p w:rsidR="00D66CAF" w:rsidRPr="00D66CAF" w:rsidRDefault="00D66CAF" w:rsidP="00D66CAF">
      <w:pPr>
        <w:spacing w:after="160" w:line="259" w:lineRule="auto"/>
        <w:rPr>
          <w:b/>
          <w:sz w:val="24"/>
          <w:szCs w:val="24"/>
          <w:u w:val="single"/>
        </w:rPr>
      </w:pPr>
      <w:r w:rsidRPr="00D66CAF">
        <w:rPr>
          <w:b/>
          <w:sz w:val="24"/>
          <w:szCs w:val="24"/>
          <w:u w:val="single"/>
        </w:rPr>
        <w:t xml:space="preserve">Background: </w:t>
      </w:r>
    </w:p>
    <w:p w:rsidR="00D66CAF" w:rsidRPr="00D66CAF" w:rsidRDefault="00D66CAF" w:rsidP="00D66CAF">
      <w:pPr>
        <w:spacing w:after="160" w:line="240" w:lineRule="auto"/>
        <w:jc w:val="both"/>
        <w:rPr>
          <w:i/>
          <w:sz w:val="24"/>
          <w:szCs w:val="24"/>
        </w:rPr>
      </w:pPr>
      <w:r w:rsidRPr="00D66CAF">
        <w:rPr>
          <w:sz w:val="24"/>
          <w:szCs w:val="24"/>
        </w:rPr>
        <w:t>The US Department of Housing and Urban Development (HUD) has sold more than $17 billion worth of non-performing loans in the last five years—about 95 percent of which were sold to private investors.  Fannie Mae and Freddie Mac have intensified their efforts to sell non-performing single-family mortgage loans in the last year.  Since July 2014, Freddie Mac has sold approximately $4.5 billion worth of NPLs through seven bulk sales.  Fannie Mae completed its first bulk NPL sale in April including mortgage loans totaling $786 million in unpaid principal balance.  (</w:t>
      </w:r>
      <w:r w:rsidRPr="00D66CAF">
        <w:rPr>
          <w:i/>
          <w:sz w:val="24"/>
          <w:szCs w:val="24"/>
        </w:rPr>
        <w:t>DS News, September 30, 2015).</w:t>
      </w:r>
    </w:p>
    <w:p w:rsidR="00D66CAF" w:rsidRPr="00D66CAF" w:rsidRDefault="00D66CAF" w:rsidP="00D66CAF">
      <w:pPr>
        <w:spacing w:after="160" w:line="240" w:lineRule="auto"/>
        <w:jc w:val="both"/>
        <w:rPr>
          <w:sz w:val="24"/>
          <w:szCs w:val="24"/>
        </w:rPr>
      </w:pPr>
      <w:r w:rsidRPr="00D66CAF">
        <w:rPr>
          <w:sz w:val="24"/>
          <w:szCs w:val="24"/>
        </w:rPr>
        <w:t xml:space="preserve">While federal housing officials, for the most part, have welcomed the new </w:t>
      </w:r>
      <w:r w:rsidRPr="00D66CAF">
        <w:rPr>
          <w:color w:val="000000" w:themeColor="text1"/>
          <w:sz w:val="24"/>
          <w:szCs w:val="24"/>
        </w:rPr>
        <w:t xml:space="preserve">financial investors (such as: private equity firms and hedge funds), the investors in these NPLs are too quick to push homes into foreclosure and are even less helpful than banks and mortgage lenders when </w:t>
      </w:r>
      <w:r w:rsidRPr="00D66CAF">
        <w:rPr>
          <w:sz w:val="24"/>
          <w:szCs w:val="24"/>
        </w:rPr>
        <w:t xml:space="preserve">negotiating with delinquent borrowers.  We believe that these sales to private investors have helped continue the destabilization of inner city neighborhoods and prevent the rebuilding of wealth by those who were most impacted by the housing crash. </w:t>
      </w:r>
    </w:p>
    <w:p w:rsidR="00D66CAF" w:rsidRPr="00D66CAF" w:rsidRDefault="00D66CAF" w:rsidP="00D66CAF">
      <w:pPr>
        <w:spacing w:after="160" w:line="240" w:lineRule="auto"/>
        <w:jc w:val="both"/>
        <w:rPr>
          <w:b/>
          <w:sz w:val="24"/>
          <w:szCs w:val="24"/>
          <w:u w:val="single"/>
        </w:rPr>
      </w:pPr>
      <w:r w:rsidRPr="00D66CAF">
        <w:rPr>
          <w:b/>
          <w:sz w:val="24"/>
          <w:szCs w:val="24"/>
          <w:u w:val="single"/>
        </w:rPr>
        <w:t>Recent Developments</w:t>
      </w:r>
    </w:p>
    <w:p w:rsidR="00D66CAF" w:rsidRPr="00D66CAF" w:rsidRDefault="00D66CAF" w:rsidP="00D66CAF">
      <w:pPr>
        <w:spacing w:after="160" w:line="240" w:lineRule="auto"/>
        <w:jc w:val="both"/>
        <w:rPr>
          <w:sz w:val="24"/>
          <w:szCs w:val="24"/>
        </w:rPr>
      </w:pPr>
      <w:r w:rsidRPr="00D66CAF">
        <w:rPr>
          <w:sz w:val="24"/>
          <w:szCs w:val="24"/>
        </w:rPr>
        <w:t>Some progress has been made with HUD and FHFA.   In early September, Fannie Mae sold a smaller “Community Impact Pool” of NPLs including 71 loans, specially geared to engage participation for non-</w:t>
      </w:r>
      <w:r w:rsidRPr="00D66CAF">
        <w:rPr>
          <w:sz w:val="24"/>
          <w:szCs w:val="24"/>
        </w:rPr>
        <w:lastRenderedPageBreak/>
        <w:t>profits, minority-and-women-owned business and community groups (</w:t>
      </w:r>
      <w:r w:rsidRPr="00D66CAF">
        <w:rPr>
          <w:i/>
          <w:sz w:val="24"/>
          <w:szCs w:val="24"/>
        </w:rPr>
        <w:t>DS</w:t>
      </w:r>
      <w:r w:rsidRPr="00D66CAF">
        <w:rPr>
          <w:sz w:val="24"/>
          <w:szCs w:val="24"/>
        </w:rPr>
        <w:t xml:space="preserve"> </w:t>
      </w:r>
      <w:r w:rsidRPr="00D66CAF">
        <w:rPr>
          <w:i/>
          <w:sz w:val="24"/>
          <w:szCs w:val="24"/>
        </w:rPr>
        <w:t>News, September 30, 2015</w:t>
      </w:r>
      <w:r w:rsidRPr="00D66CAF">
        <w:rPr>
          <w:sz w:val="24"/>
          <w:szCs w:val="24"/>
        </w:rPr>
        <w:t xml:space="preserve">).  Additionally, HUD and the Federal Housing Administration (FHA) are attempting to make better use of the Distressed Asset Stabilization Program (DASP) and now require the buyer of loans to delay foreclosure for at least one year.  </w:t>
      </w:r>
    </w:p>
    <w:p w:rsidR="00D66CAF" w:rsidRPr="00D66CAF" w:rsidRDefault="00D66CAF" w:rsidP="00D66CAF">
      <w:pPr>
        <w:spacing w:after="160" w:line="240" w:lineRule="auto"/>
        <w:jc w:val="both"/>
        <w:rPr>
          <w:sz w:val="24"/>
          <w:szCs w:val="24"/>
        </w:rPr>
      </w:pPr>
      <w:r w:rsidRPr="00D66CAF">
        <w:rPr>
          <w:sz w:val="24"/>
          <w:szCs w:val="24"/>
        </w:rPr>
        <w:t xml:space="preserve">We applaud the efforts of Senator Elizabeth Warren and Congressman Michael Capuano who continue to reach out to HUD and the Federal Housing Finance Agency (FHFA) urging them to stop selling delinquent mortgage loans to private equity firms.  We agree with Senator Warren and Congressman Capuano that non-profits would be more likely to engage in the loss mitigation process with borrowers and prevent foreclosure. </w:t>
      </w:r>
    </w:p>
    <w:p w:rsidR="00D66CAF" w:rsidRPr="00D66CAF" w:rsidRDefault="00D66CAF" w:rsidP="00D66CAF">
      <w:pPr>
        <w:spacing w:after="160" w:line="240" w:lineRule="auto"/>
        <w:jc w:val="both"/>
        <w:rPr>
          <w:b/>
          <w:sz w:val="24"/>
          <w:szCs w:val="24"/>
          <w:u w:val="single"/>
        </w:rPr>
      </w:pPr>
      <w:r w:rsidRPr="00D66CAF">
        <w:rPr>
          <w:b/>
          <w:sz w:val="24"/>
          <w:szCs w:val="24"/>
          <w:u w:val="single"/>
        </w:rPr>
        <w:t>Recommendation</w:t>
      </w:r>
      <w:r w:rsidR="00E9789A">
        <w:rPr>
          <w:b/>
          <w:sz w:val="24"/>
          <w:szCs w:val="24"/>
          <w:u w:val="single"/>
        </w:rPr>
        <w:t>s</w:t>
      </w:r>
    </w:p>
    <w:p w:rsidR="00D66CAF" w:rsidRPr="00D66CAF" w:rsidRDefault="00D66CAF" w:rsidP="00D66CAF">
      <w:pPr>
        <w:spacing w:after="160" w:line="240" w:lineRule="auto"/>
        <w:jc w:val="both"/>
        <w:rPr>
          <w:sz w:val="24"/>
          <w:szCs w:val="24"/>
        </w:rPr>
      </w:pPr>
      <w:r w:rsidRPr="00D66CAF">
        <w:rPr>
          <w:sz w:val="24"/>
          <w:szCs w:val="24"/>
        </w:rPr>
        <w:t>We bel</w:t>
      </w:r>
      <w:r>
        <w:rPr>
          <w:sz w:val="24"/>
          <w:szCs w:val="24"/>
        </w:rPr>
        <w:t>ieve that more needs to be done immediately to ensure that</w:t>
      </w:r>
      <w:r w:rsidRPr="00D66CAF">
        <w:rPr>
          <w:sz w:val="24"/>
          <w:szCs w:val="24"/>
        </w:rPr>
        <w:t xml:space="preserve"> non-profits, minority- and women-owned business and community groups </w:t>
      </w:r>
      <w:r>
        <w:rPr>
          <w:sz w:val="24"/>
          <w:szCs w:val="24"/>
        </w:rPr>
        <w:t xml:space="preserve">are </w:t>
      </w:r>
      <w:r w:rsidRPr="00D66CAF">
        <w:rPr>
          <w:sz w:val="24"/>
          <w:szCs w:val="24"/>
        </w:rPr>
        <w:t xml:space="preserve">provided </w:t>
      </w:r>
      <w:r>
        <w:rPr>
          <w:sz w:val="24"/>
          <w:szCs w:val="24"/>
        </w:rPr>
        <w:t xml:space="preserve">robust and reasonable </w:t>
      </w:r>
      <w:r w:rsidRPr="00D66CAF">
        <w:rPr>
          <w:sz w:val="24"/>
          <w:szCs w:val="24"/>
        </w:rPr>
        <w:t>opportunit</w:t>
      </w:r>
      <w:r>
        <w:rPr>
          <w:sz w:val="24"/>
          <w:szCs w:val="24"/>
        </w:rPr>
        <w:t>ies</w:t>
      </w:r>
      <w:r w:rsidRPr="00D66CAF">
        <w:rPr>
          <w:sz w:val="24"/>
          <w:szCs w:val="24"/>
        </w:rPr>
        <w:t xml:space="preserve"> to participate in this process.  </w:t>
      </w:r>
    </w:p>
    <w:p w:rsidR="00D66CAF" w:rsidRDefault="00D66CAF" w:rsidP="00D66CAF">
      <w:pPr>
        <w:spacing w:after="160" w:line="240" w:lineRule="auto"/>
        <w:jc w:val="both"/>
        <w:rPr>
          <w:color w:val="000000" w:themeColor="text1"/>
          <w:sz w:val="24"/>
          <w:szCs w:val="24"/>
        </w:rPr>
      </w:pPr>
      <w:r w:rsidRPr="00D66CAF">
        <w:rPr>
          <w:color w:val="000000" w:themeColor="text1"/>
          <w:sz w:val="24"/>
          <w:szCs w:val="24"/>
        </w:rPr>
        <w:t>In order to nurture the best caring but proper solution for the consumers involved, an extended “First Look” opportunity must be developed as a requirement for the Federal Housing Agencies, allowing non-profit organizations an extended opportunity to purchase these NPLs</w:t>
      </w:r>
      <w:r w:rsidR="00C24C90">
        <w:rPr>
          <w:color w:val="000000" w:themeColor="text1"/>
          <w:sz w:val="24"/>
          <w:szCs w:val="24"/>
        </w:rPr>
        <w:t xml:space="preserve"> prior t</w:t>
      </w:r>
      <w:r w:rsidR="00621AEE">
        <w:rPr>
          <w:color w:val="000000" w:themeColor="text1"/>
          <w:sz w:val="24"/>
          <w:szCs w:val="24"/>
        </w:rPr>
        <w:t>o</w:t>
      </w:r>
      <w:r w:rsidR="00C24C90">
        <w:rPr>
          <w:color w:val="000000" w:themeColor="text1"/>
          <w:sz w:val="24"/>
          <w:szCs w:val="24"/>
        </w:rPr>
        <w:t xml:space="preserve"> financial investors</w:t>
      </w:r>
      <w:r w:rsidR="00E9789A">
        <w:rPr>
          <w:color w:val="000000" w:themeColor="text1"/>
          <w:sz w:val="24"/>
          <w:szCs w:val="24"/>
        </w:rPr>
        <w:t xml:space="preserve">. </w:t>
      </w:r>
      <w:r w:rsidRPr="00D66CAF">
        <w:rPr>
          <w:color w:val="000000" w:themeColor="text1"/>
          <w:sz w:val="24"/>
          <w:szCs w:val="24"/>
        </w:rPr>
        <w:t>A rational “First Look” program may consist of 90-120 days of non-profit opportunity to evaluate these NPLs before the market is opened to financial investors.</w:t>
      </w:r>
    </w:p>
    <w:p w:rsidR="00E9789A" w:rsidRDefault="00E9789A" w:rsidP="00D66CAF">
      <w:pPr>
        <w:spacing w:after="160" w:line="240" w:lineRule="auto"/>
        <w:jc w:val="both"/>
        <w:rPr>
          <w:color w:val="000000" w:themeColor="text1"/>
          <w:sz w:val="24"/>
          <w:szCs w:val="24"/>
        </w:rPr>
      </w:pPr>
      <w:r>
        <w:rPr>
          <w:color w:val="000000" w:themeColor="text1"/>
          <w:sz w:val="24"/>
          <w:szCs w:val="24"/>
        </w:rPr>
        <w:t xml:space="preserve">In addition, approximately 34% of these properties go into foreclosure.  </w:t>
      </w:r>
      <w:r w:rsidR="00C24C90">
        <w:rPr>
          <w:color w:val="000000" w:themeColor="text1"/>
          <w:sz w:val="24"/>
          <w:szCs w:val="24"/>
        </w:rPr>
        <w:t xml:space="preserve">Steps need to be </w:t>
      </w:r>
      <w:r w:rsidR="00983D4B">
        <w:rPr>
          <w:color w:val="000000" w:themeColor="text1"/>
          <w:sz w:val="24"/>
          <w:szCs w:val="24"/>
        </w:rPr>
        <w:t xml:space="preserve">in place to ensure </w:t>
      </w:r>
      <w:r>
        <w:rPr>
          <w:color w:val="000000" w:themeColor="text1"/>
          <w:sz w:val="24"/>
          <w:szCs w:val="24"/>
        </w:rPr>
        <w:t xml:space="preserve">that any properties subject to foreclosure be returned to the </w:t>
      </w:r>
      <w:r w:rsidR="00621AEE">
        <w:rPr>
          <w:color w:val="000000" w:themeColor="text1"/>
          <w:sz w:val="24"/>
          <w:szCs w:val="24"/>
        </w:rPr>
        <w:t xml:space="preserve">open </w:t>
      </w:r>
      <w:r>
        <w:rPr>
          <w:color w:val="000000" w:themeColor="text1"/>
          <w:sz w:val="24"/>
          <w:szCs w:val="24"/>
        </w:rPr>
        <w:t>marketplace</w:t>
      </w:r>
      <w:r w:rsidR="00983D4B">
        <w:rPr>
          <w:color w:val="000000" w:themeColor="text1"/>
          <w:sz w:val="24"/>
          <w:szCs w:val="24"/>
        </w:rPr>
        <w:t xml:space="preserve"> so that those in the community </w:t>
      </w:r>
      <w:r w:rsidR="00621AEE">
        <w:rPr>
          <w:color w:val="000000" w:themeColor="text1"/>
          <w:sz w:val="24"/>
          <w:szCs w:val="24"/>
        </w:rPr>
        <w:t xml:space="preserve">where they are located </w:t>
      </w:r>
      <w:r w:rsidR="00983D4B">
        <w:rPr>
          <w:color w:val="000000" w:themeColor="text1"/>
          <w:sz w:val="24"/>
          <w:szCs w:val="24"/>
        </w:rPr>
        <w:t xml:space="preserve">have an opportunity to purchase the properties.    </w:t>
      </w:r>
    </w:p>
    <w:p w:rsidR="0085755A" w:rsidRDefault="0085755A" w:rsidP="00D66CAF">
      <w:pPr>
        <w:spacing w:after="160" w:line="240" w:lineRule="auto"/>
        <w:jc w:val="both"/>
        <w:rPr>
          <w:color w:val="000000" w:themeColor="text1"/>
          <w:sz w:val="24"/>
          <w:szCs w:val="24"/>
        </w:rPr>
      </w:pPr>
    </w:p>
    <w:p w:rsidR="0085755A" w:rsidRDefault="0085755A" w:rsidP="0085755A">
      <w:pPr>
        <w:spacing w:after="0" w:line="240" w:lineRule="auto"/>
        <w:jc w:val="both"/>
        <w:rPr>
          <w:color w:val="000000" w:themeColor="text1"/>
          <w:sz w:val="24"/>
          <w:szCs w:val="24"/>
        </w:rPr>
      </w:pPr>
      <w:r>
        <w:rPr>
          <w:color w:val="000000" w:themeColor="text1"/>
          <w:sz w:val="24"/>
          <w:szCs w:val="24"/>
        </w:rPr>
        <w:t xml:space="preserve">Contacts: </w:t>
      </w:r>
    </w:p>
    <w:p w:rsidR="0085755A" w:rsidRDefault="0085755A" w:rsidP="0085755A">
      <w:pPr>
        <w:spacing w:after="0" w:line="240" w:lineRule="auto"/>
        <w:jc w:val="both"/>
        <w:rPr>
          <w:color w:val="000000" w:themeColor="text1"/>
          <w:sz w:val="24"/>
          <w:szCs w:val="24"/>
        </w:rPr>
      </w:pPr>
      <w:r>
        <w:rPr>
          <w:color w:val="000000" w:themeColor="text1"/>
          <w:sz w:val="24"/>
          <w:szCs w:val="24"/>
        </w:rPr>
        <w:t xml:space="preserve">Ron Cooper, President, </w:t>
      </w:r>
      <w:r w:rsidR="00E9789A">
        <w:rPr>
          <w:color w:val="000000" w:themeColor="text1"/>
          <w:sz w:val="24"/>
          <w:szCs w:val="24"/>
        </w:rPr>
        <w:t>213-479-4910</w:t>
      </w:r>
      <w:r>
        <w:rPr>
          <w:color w:val="000000" w:themeColor="text1"/>
          <w:sz w:val="24"/>
          <w:szCs w:val="24"/>
        </w:rPr>
        <w:t xml:space="preserve"> </w:t>
      </w:r>
    </w:p>
    <w:p w:rsidR="0085755A" w:rsidRDefault="0085755A" w:rsidP="0085755A">
      <w:pPr>
        <w:spacing w:after="0" w:line="240" w:lineRule="auto"/>
        <w:jc w:val="both"/>
        <w:rPr>
          <w:color w:val="000000" w:themeColor="text1"/>
          <w:sz w:val="24"/>
          <w:szCs w:val="24"/>
        </w:rPr>
      </w:pPr>
      <w:r>
        <w:rPr>
          <w:color w:val="000000" w:themeColor="text1"/>
          <w:sz w:val="24"/>
          <w:szCs w:val="24"/>
        </w:rPr>
        <w:t>Antoine Thompson, Executive Director, 301-552-9340</w:t>
      </w:r>
    </w:p>
    <w:p w:rsidR="00754F2F" w:rsidRDefault="00754F2F" w:rsidP="0085755A">
      <w:pPr>
        <w:spacing w:after="0" w:line="240" w:lineRule="auto"/>
        <w:jc w:val="both"/>
        <w:rPr>
          <w:color w:val="000000" w:themeColor="text1"/>
          <w:sz w:val="24"/>
          <w:szCs w:val="24"/>
        </w:rPr>
      </w:pPr>
      <w:r>
        <w:rPr>
          <w:color w:val="000000" w:themeColor="text1"/>
          <w:sz w:val="24"/>
          <w:szCs w:val="24"/>
        </w:rPr>
        <w:t>October, 2015</w:t>
      </w:r>
    </w:p>
    <w:p w:rsidR="00D66CAF" w:rsidRPr="00D66CAF" w:rsidRDefault="00D66CAF" w:rsidP="00D66CAF">
      <w:pPr>
        <w:spacing w:after="160" w:line="240" w:lineRule="auto"/>
        <w:jc w:val="both"/>
        <w:rPr>
          <w:sz w:val="24"/>
          <w:szCs w:val="24"/>
        </w:rPr>
      </w:pPr>
    </w:p>
    <w:p w:rsidR="00D66CAF" w:rsidRPr="00D66CAF" w:rsidRDefault="00D66CAF" w:rsidP="00D66CAF">
      <w:pPr>
        <w:spacing w:after="160" w:line="259" w:lineRule="auto"/>
        <w:jc w:val="both"/>
        <w:rPr>
          <w:sz w:val="24"/>
          <w:szCs w:val="24"/>
        </w:rPr>
      </w:pPr>
    </w:p>
    <w:p w:rsidR="00D66CAF" w:rsidRDefault="00D66CAF" w:rsidP="00DD672B">
      <w:pPr>
        <w:spacing w:after="160" w:line="259" w:lineRule="auto"/>
        <w:rPr>
          <w:b/>
          <w:sz w:val="24"/>
          <w:szCs w:val="24"/>
          <w:u w:val="single"/>
        </w:rPr>
      </w:pPr>
    </w:p>
    <w:p w:rsidR="00D66CAF" w:rsidRDefault="00D66CAF" w:rsidP="00DD672B">
      <w:pPr>
        <w:spacing w:after="160" w:line="259" w:lineRule="auto"/>
        <w:rPr>
          <w:b/>
          <w:sz w:val="24"/>
          <w:szCs w:val="24"/>
          <w:u w:val="single"/>
        </w:rPr>
      </w:pPr>
    </w:p>
    <w:p w:rsidR="00D66CAF" w:rsidRDefault="00D66CAF" w:rsidP="00DD672B">
      <w:pPr>
        <w:spacing w:after="160" w:line="259" w:lineRule="auto"/>
        <w:rPr>
          <w:b/>
          <w:sz w:val="24"/>
          <w:szCs w:val="24"/>
          <w:u w:val="single"/>
        </w:rPr>
      </w:pPr>
    </w:p>
    <w:sectPr w:rsidR="00D66CAF" w:rsidSect="006B14D6">
      <w:footerReference w:type="default" r:id="rId13"/>
      <w:pgSz w:w="12240" w:h="15840"/>
      <w:pgMar w:top="1440" w:right="144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520" w:rsidRDefault="00293520" w:rsidP="002151D9">
      <w:pPr>
        <w:spacing w:after="0" w:line="240" w:lineRule="auto"/>
      </w:pPr>
      <w:r>
        <w:separator/>
      </w:r>
    </w:p>
  </w:endnote>
  <w:endnote w:type="continuationSeparator" w:id="0">
    <w:p w:rsidR="00293520" w:rsidRDefault="00293520" w:rsidP="0021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CAF" w:rsidRDefault="00D66CAF"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rPr>
    </w:pPr>
  </w:p>
  <w:p w:rsidR="00D66CAF" w:rsidRDefault="00D66CAF"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rPr>
    </w:pPr>
  </w:p>
  <w:p w:rsidR="00DD672B" w:rsidRPr="00DD672B" w:rsidRDefault="00DD672B"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rPr>
    </w:pPr>
    <w:r w:rsidRPr="00DD672B">
      <w:rPr>
        <w:rFonts w:ascii="Calibri" w:eastAsia="Times New Roman" w:hAnsi="Calibri" w:cs="Times New Roman"/>
        <w:color w:val="A6A6A6" w:themeColor="background1" w:themeShade="A6"/>
        <w:sz w:val="18"/>
        <w:szCs w:val="18"/>
      </w:rPr>
      <w:t>9831 Greenbelt Road, Suite 309</w:t>
    </w:r>
  </w:p>
  <w:p w:rsidR="00DD672B" w:rsidRPr="00DD672B" w:rsidRDefault="00DD672B"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rPr>
    </w:pPr>
    <w:r w:rsidRPr="00DD672B">
      <w:rPr>
        <w:rFonts w:ascii="Calibri" w:eastAsia="Times New Roman" w:hAnsi="Calibri" w:cs="Times New Roman"/>
        <w:color w:val="A6A6A6" w:themeColor="background1" w:themeShade="A6"/>
        <w:sz w:val="18"/>
        <w:szCs w:val="18"/>
      </w:rPr>
      <w:t>Lanham, MD 20706</w:t>
    </w:r>
  </w:p>
  <w:p w:rsidR="00DD672B" w:rsidRPr="00DD672B" w:rsidRDefault="00DD672B"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lang w:val="de-DE"/>
      </w:rPr>
    </w:pPr>
    <w:r w:rsidRPr="00DD672B">
      <w:rPr>
        <w:rFonts w:ascii="Calibri" w:eastAsia="Times New Roman" w:hAnsi="Calibri" w:cs="Times New Roman"/>
        <w:color w:val="A6A6A6" w:themeColor="background1" w:themeShade="A6"/>
        <w:sz w:val="18"/>
        <w:szCs w:val="18"/>
      </w:rPr>
      <w:t xml:space="preserve">Office: (301) 552-9340    *     </w:t>
    </w:r>
    <w:r w:rsidRPr="00DD672B">
      <w:rPr>
        <w:rFonts w:ascii="Calibri" w:eastAsia="Times New Roman" w:hAnsi="Calibri" w:cs="Times New Roman"/>
        <w:color w:val="A6A6A6" w:themeColor="background1" w:themeShade="A6"/>
        <w:sz w:val="18"/>
        <w:szCs w:val="18"/>
        <w:lang w:val="de-DE"/>
      </w:rPr>
      <w:t>Fax: (301) 552-9216</w:t>
    </w:r>
  </w:p>
  <w:p w:rsidR="00DD672B" w:rsidRPr="00DD672B" w:rsidRDefault="00DD672B"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lang w:val="de-DE"/>
      </w:rPr>
    </w:pPr>
    <w:r w:rsidRPr="00DD672B">
      <w:rPr>
        <w:rFonts w:ascii="Calibri" w:eastAsia="Times New Roman" w:hAnsi="Calibri" w:cs="Times New Roman"/>
        <w:color w:val="A6A6A6" w:themeColor="background1" w:themeShade="A6"/>
        <w:sz w:val="18"/>
        <w:szCs w:val="18"/>
        <w:lang w:val="de-DE"/>
      </w:rPr>
      <w:t>www.NAREB.com</w:t>
    </w:r>
  </w:p>
  <w:p w:rsidR="00162966" w:rsidRPr="007275D8" w:rsidRDefault="00162966">
    <w:pPr>
      <w:pStyle w:val="Footer"/>
    </w:pPr>
    <w:r w:rsidRPr="007275D8">
      <w:rPr>
        <w:noProof/>
      </w:rPr>
      <w:drawing>
        <wp:anchor distT="0" distB="0" distL="114300" distR="114300" simplePos="0" relativeHeight="251656192" behindDoc="1" locked="0" layoutInCell="1" allowOverlap="1" wp14:anchorId="6B652F93" wp14:editId="23DF0CAC">
          <wp:simplePos x="0" y="0"/>
          <wp:positionH relativeFrom="column">
            <wp:posOffset>-542925</wp:posOffset>
          </wp:positionH>
          <wp:positionV relativeFrom="paragraph">
            <wp:posOffset>3810</wp:posOffset>
          </wp:positionV>
          <wp:extent cx="7772400" cy="771525"/>
          <wp:effectExtent l="0" t="0" r="0" b="9525"/>
          <wp:wrapNone/>
          <wp:docPr id="13" name="Picture 13"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_Pg3"/>
                  <pic:cNvPicPr>
                    <a:picLocks noChangeAspect="1" noChangeArrowheads="1"/>
                  </pic:cNvPicPr>
                </pic:nvPicPr>
                <pic:blipFill rotWithShape="1">
                  <a:blip r:embed="rId1">
                    <a:duotone>
                      <a:schemeClr val="accent1">
                        <a:shade val="45000"/>
                        <a:satMod val="135000"/>
                      </a:schemeClr>
                      <a:prstClr val="white"/>
                    </a:duotone>
                    <a:extLst>
                      <a:ext uri="{BEBA8EAE-BF5A-486C-A8C5-ECC9F3942E4B}">
                        <a14:imgProps xmlns:a14="http://schemas.microsoft.com/office/drawing/2010/main">
                          <a14:imgLayer r:embed="rId2">
                            <a14:imgEffect>
                              <a14:backgroundRemoval t="89667" b="97970" l="2157" r="98000"/>
                            </a14:imgEffect>
                          </a14:imgLayer>
                        </a14:imgProps>
                      </a:ext>
                      <a:ext uri="{28A0092B-C50C-407E-A947-70E740481C1C}">
                        <a14:useLocalDpi xmlns:a14="http://schemas.microsoft.com/office/drawing/2010/main" val="0"/>
                      </a:ext>
                    </a:extLst>
                  </a:blip>
                  <a:srcRect t="90530" b="1799"/>
                  <a:stretch/>
                </pic:blipFill>
                <pic:spPr bwMode="auto">
                  <a:xfrm>
                    <a:off x="0" y="0"/>
                    <a:ext cx="777240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966" w:rsidRDefault="00162966">
    <w:r>
      <w:rPr>
        <w:noProof/>
      </w:rPr>
      <w:drawing>
        <wp:anchor distT="0" distB="0" distL="114300" distR="114300" simplePos="0" relativeHeight="251657216" behindDoc="1" locked="0" layoutInCell="1" allowOverlap="1" wp14:anchorId="3EF5D61C" wp14:editId="7823CFC7">
          <wp:simplePos x="0" y="0"/>
          <wp:positionH relativeFrom="margin">
            <wp:posOffset>6403340</wp:posOffset>
          </wp:positionH>
          <wp:positionV relativeFrom="margin">
            <wp:posOffset>8395335</wp:posOffset>
          </wp:positionV>
          <wp:extent cx="685800" cy="510540"/>
          <wp:effectExtent l="0" t="0" r="0" b="3810"/>
          <wp:wrapThrough wrapText="bothSides">
            <wp:wrapPolygon edited="0">
              <wp:start x="3000" y="0"/>
              <wp:lineTo x="0" y="3224"/>
              <wp:lineTo x="0" y="16925"/>
              <wp:lineTo x="2400" y="20955"/>
              <wp:lineTo x="18600" y="20955"/>
              <wp:lineTo x="21000" y="17731"/>
              <wp:lineTo x="21000" y="3224"/>
              <wp:lineTo x="18000" y="0"/>
              <wp:lineTo x="3000" y="0"/>
            </wp:wrapPolygon>
          </wp:wrapThrough>
          <wp:docPr id="12" name="Picture 12" descr="http://www.floridarealtyteam.com/images/NewsImage_nareb-logo-g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idarealtyteam.com/images/NewsImage_nareb-logo-gold2.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backgroundRemoval t="18800" b="81867" l="5467" r="92933">
                                <a14:foregroundMark x1="38533" y1="33867" x2="38533" y2="33867"/>
                                <a14:foregroundMark x1="29200" y1="30667" x2="29200" y2="30667"/>
                                <a14:foregroundMark x1="25200" y1="44133" x2="25200" y2="44133"/>
                                <a14:foregroundMark x1="30667" y1="41733" x2="30667" y2="41733"/>
                                <a14:foregroundMark x1="35467" y1="40933" x2="35467" y2="40933"/>
                                <a14:foregroundMark x1="43333" y1="39333" x2="43333" y2="39333"/>
                                <a14:foregroundMark x1="62933" y1="74000" x2="62933" y2="74000"/>
                              </a14:backgroundRemoval>
                            </a14:imgEffect>
                            <a14:imgEffect>
                              <a14:colorTemperature colorTemp="7000"/>
                            </a14:imgEffect>
                          </a14:imgLayer>
                        </a14:imgProps>
                      </a:ext>
                      <a:ext uri="{28A0092B-C50C-407E-A947-70E740481C1C}">
                        <a14:useLocalDpi xmlns:a14="http://schemas.microsoft.com/office/drawing/2010/main" val="0"/>
                      </a:ext>
                    </a:extLst>
                  </a:blip>
                  <a:srcRect l="6299" t="15749" r="7087" b="19685"/>
                  <a:stretch/>
                </pic:blipFill>
                <pic:spPr bwMode="auto">
                  <a:xfrm>
                    <a:off x="0" y="0"/>
                    <a:ext cx="685800" cy="51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10E6FCCF" wp14:editId="087D39E4">
              <wp:simplePos x="0" y="0"/>
              <wp:positionH relativeFrom="column">
                <wp:posOffset>-195262</wp:posOffset>
              </wp:positionH>
              <wp:positionV relativeFrom="paragraph">
                <wp:posOffset>27940</wp:posOffset>
              </wp:positionV>
              <wp:extent cx="7281863" cy="0"/>
              <wp:effectExtent l="0" t="0" r="14605" b="19050"/>
              <wp:wrapNone/>
              <wp:docPr id="10" name="Straight Connector 10"/>
              <wp:cNvGraphicFramePr/>
              <a:graphic xmlns:a="http://schemas.openxmlformats.org/drawingml/2006/main">
                <a:graphicData uri="http://schemas.microsoft.com/office/word/2010/wordprocessingShape">
                  <wps:wsp>
                    <wps:cNvCnPr/>
                    <wps:spPr>
                      <a:xfrm>
                        <a:off x="0" y="0"/>
                        <a:ext cx="7281863" cy="0"/>
                      </a:xfrm>
                      <a:prstGeom prst="line">
                        <a:avLst/>
                      </a:prstGeom>
                      <a:ln w="127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4DB15"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2.2pt" to="558.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" strokecolor="#c90"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520" w:rsidRDefault="00293520" w:rsidP="002151D9">
      <w:pPr>
        <w:spacing w:after="0" w:line="240" w:lineRule="auto"/>
      </w:pPr>
      <w:r>
        <w:separator/>
      </w:r>
    </w:p>
  </w:footnote>
  <w:footnote w:type="continuationSeparator" w:id="0">
    <w:p w:rsidR="00293520" w:rsidRDefault="00293520" w:rsidP="002151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D14F0"/>
    <w:multiLevelType w:val="hybridMultilevel"/>
    <w:tmpl w:val="E02A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834E1"/>
    <w:multiLevelType w:val="hybridMultilevel"/>
    <w:tmpl w:val="BF42B668"/>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315102"/>
    <w:multiLevelType w:val="hybridMultilevel"/>
    <w:tmpl w:val="B7165D0A"/>
    <w:lvl w:ilvl="0" w:tplc="6582C748">
      <w:start w:val="17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E1052"/>
    <w:multiLevelType w:val="hybridMultilevel"/>
    <w:tmpl w:val="D5B2B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EA41C3"/>
    <w:multiLevelType w:val="hybridMultilevel"/>
    <w:tmpl w:val="191C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E8630E"/>
    <w:multiLevelType w:val="hybridMultilevel"/>
    <w:tmpl w:val="C2F25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774"/>
    <w:rsid w:val="000046D1"/>
    <w:rsid w:val="00033492"/>
    <w:rsid w:val="000547EC"/>
    <w:rsid w:val="00054A5A"/>
    <w:rsid w:val="00055F3B"/>
    <w:rsid w:val="00077825"/>
    <w:rsid w:val="000A0551"/>
    <w:rsid w:val="000B2236"/>
    <w:rsid w:val="001000D9"/>
    <w:rsid w:val="00101933"/>
    <w:rsid w:val="00101CA0"/>
    <w:rsid w:val="00120D31"/>
    <w:rsid w:val="00123034"/>
    <w:rsid w:val="00131228"/>
    <w:rsid w:val="00162966"/>
    <w:rsid w:val="0018471D"/>
    <w:rsid w:val="00190C61"/>
    <w:rsid w:val="001B556B"/>
    <w:rsid w:val="001B63AF"/>
    <w:rsid w:val="001D09E5"/>
    <w:rsid w:val="001D1425"/>
    <w:rsid w:val="001E05B2"/>
    <w:rsid w:val="002028E7"/>
    <w:rsid w:val="002151D9"/>
    <w:rsid w:val="00216756"/>
    <w:rsid w:val="00226A7F"/>
    <w:rsid w:val="002304B6"/>
    <w:rsid w:val="00236A74"/>
    <w:rsid w:val="00293520"/>
    <w:rsid w:val="00295D8E"/>
    <w:rsid w:val="002A2401"/>
    <w:rsid w:val="002A6501"/>
    <w:rsid w:val="002B7CA7"/>
    <w:rsid w:val="002C1394"/>
    <w:rsid w:val="002D7BDA"/>
    <w:rsid w:val="00343DEE"/>
    <w:rsid w:val="00346B43"/>
    <w:rsid w:val="00351F09"/>
    <w:rsid w:val="003677E3"/>
    <w:rsid w:val="003835CD"/>
    <w:rsid w:val="0040015E"/>
    <w:rsid w:val="00406CF2"/>
    <w:rsid w:val="00421ACC"/>
    <w:rsid w:val="00423F29"/>
    <w:rsid w:val="00424739"/>
    <w:rsid w:val="00431B79"/>
    <w:rsid w:val="00434605"/>
    <w:rsid w:val="00445083"/>
    <w:rsid w:val="00466DCC"/>
    <w:rsid w:val="00491A29"/>
    <w:rsid w:val="004C3E91"/>
    <w:rsid w:val="004E7835"/>
    <w:rsid w:val="00540C22"/>
    <w:rsid w:val="00554BBB"/>
    <w:rsid w:val="005971AA"/>
    <w:rsid w:val="005B035F"/>
    <w:rsid w:val="005C24C2"/>
    <w:rsid w:val="005E681C"/>
    <w:rsid w:val="005F1228"/>
    <w:rsid w:val="005F45E2"/>
    <w:rsid w:val="00607D4E"/>
    <w:rsid w:val="00615FA6"/>
    <w:rsid w:val="00616882"/>
    <w:rsid w:val="00616EF6"/>
    <w:rsid w:val="00617B8F"/>
    <w:rsid w:val="00620774"/>
    <w:rsid w:val="00621AEE"/>
    <w:rsid w:val="00640C3D"/>
    <w:rsid w:val="0065480E"/>
    <w:rsid w:val="00661CB5"/>
    <w:rsid w:val="0066538C"/>
    <w:rsid w:val="006656FD"/>
    <w:rsid w:val="00677DD7"/>
    <w:rsid w:val="00695309"/>
    <w:rsid w:val="006A3A16"/>
    <w:rsid w:val="006A52E0"/>
    <w:rsid w:val="006B14D6"/>
    <w:rsid w:val="006C4FD8"/>
    <w:rsid w:val="006C7A9E"/>
    <w:rsid w:val="006D6CB6"/>
    <w:rsid w:val="007150F6"/>
    <w:rsid w:val="007275D8"/>
    <w:rsid w:val="00754F2F"/>
    <w:rsid w:val="00781A27"/>
    <w:rsid w:val="00792BB4"/>
    <w:rsid w:val="007C0128"/>
    <w:rsid w:val="007E1F8E"/>
    <w:rsid w:val="00804F9F"/>
    <w:rsid w:val="00805652"/>
    <w:rsid w:val="00831822"/>
    <w:rsid w:val="0085755A"/>
    <w:rsid w:val="008A3CA7"/>
    <w:rsid w:val="008C1942"/>
    <w:rsid w:val="008D624C"/>
    <w:rsid w:val="009200CC"/>
    <w:rsid w:val="009469A9"/>
    <w:rsid w:val="009617CF"/>
    <w:rsid w:val="0097050C"/>
    <w:rsid w:val="00983D4B"/>
    <w:rsid w:val="00A11561"/>
    <w:rsid w:val="00A12FEF"/>
    <w:rsid w:val="00A42BEE"/>
    <w:rsid w:val="00A96339"/>
    <w:rsid w:val="00AC2CF8"/>
    <w:rsid w:val="00B40A60"/>
    <w:rsid w:val="00B53C2C"/>
    <w:rsid w:val="00B66FD0"/>
    <w:rsid w:val="00B676E0"/>
    <w:rsid w:val="00B73058"/>
    <w:rsid w:val="00BD47DB"/>
    <w:rsid w:val="00C22D46"/>
    <w:rsid w:val="00C24C90"/>
    <w:rsid w:val="00C37B02"/>
    <w:rsid w:val="00C45154"/>
    <w:rsid w:val="00C637A7"/>
    <w:rsid w:val="00C65451"/>
    <w:rsid w:val="00C807CD"/>
    <w:rsid w:val="00C80948"/>
    <w:rsid w:val="00C81C9C"/>
    <w:rsid w:val="00CB1943"/>
    <w:rsid w:val="00CB32C4"/>
    <w:rsid w:val="00CD5C3F"/>
    <w:rsid w:val="00CE5366"/>
    <w:rsid w:val="00D10C04"/>
    <w:rsid w:val="00D15B10"/>
    <w:rsid w:val="00D1678B"/>
    <w:rsid w:val="00D17BC3"/>
    <w:rsid w:val="00D27BD0"/>
    <w:rsid w:val="00D32CC9"/>
    <w:rsid w:val="00D3684F"/>
    <w:rsid w:val="00D42196"/>
    <w:rsid w:val="00D66CAF"/>
    <w:rsid w:val="00D75BF0"/>
    <w:rsid w:val="00D94D13"/>
    <w:rsid w:val="00DD1735"/>
    <w:rsid w:val="00DD45C9"/>
    <w:rsid w:val="00DD672B"/>
    <w:rsid w:val="00DE3B1B"/>
    <w:rsid w:val="00E00CF9"/>
    <w:rsid w:val="00E26CD8"/>
    <w:rsid w:val="00E53470"/>
    <w:rsid w:val="00E964F6"/>
    <w:rsid w:val="00E9789A"/>
    <w:rsid w:val="00E97CAE"/>
    <w:rsid w:val="00EA5A5E"/>
    <w:rsid w:val="00EB621B"/>
    <w:rsid w:val="00ED325D"/>
    <w:rsid w:val="00EE24F7"/>
    <w:rsid w:val="00EE3CF0"/>
    <w:rsid w:val="00EF3974"/>
    <w:rsid w:val="00EF79DB"/>
    <w:rsid w:val="00F24C2D"/>
    <w:rsid w:val="00F74794"/>
    <w:rsid w:val="00F775F5"/>
    <w:rsid w:val="00F82CB8"/>
    <w:rsid w:val="00FA4CB6"/>
    <w:rsid w:val="00FA4D31"/>
    <w:rsid w:val="00FE6502"/>
    <w:rsid w:val="00FF0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2FAED0-2B58-4ED9-9D44-E5F60F6F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774"/>
    <w:rPr>
      <w:rFonts w:ascii="Tahoma" w:hAnsi="Tahoma" w:cs="Tahoma"/>
      <w:sz w:val="16"/>
      <w:szCs w:val="16"/>
    </w:rPr>
  </w:style>
  <w:style w:type="paragraph" w:customStyle="1" w:styleId="Newsletterheadline">
    <w:name w:val="Newsletter headline"/>
    <w:basedOn w:val="Normal"/>
    <w:link w:val="NewsletterheadlineChar"/>
    <w:qFormat/>
    <w:rsid w:val="00D94D13"/>
    <w:pPr>
      <w:spacing w:after="0" w:line="360" w:lineRule="auto"/>
    </w:pPr>
    <w:rPr>
      <w:rFonts w:ascii="Arial" w:eastAsia="Times New Roman" w:hAnsi="Arial" w:cs="Times New Roman"/>
      <w:caps/>
      <w:color w:val="940803"/>
      <w:sz w:val="24"/>
      <w:szCs w:val="24"/>
    </w:rPr>
  </w:style>
  <w:style w:type="character" w:customStyle="1" w:styleId="NewsletterheadlineChar">
    <w:name w:val="Newsletter headline Char"/>
    <w:basedOn w:val="DefaultParagraphFont"/>
    <w:link w:val="Newsletterheadline"/>
    <w:rsid w:val="00D94D13"/>
    <w:rPr>
      <w:rFonts w:ascii="Arial" w:eastAsia="Times New Roman" w:hAnsi="Arial" w:cs="Times New Roman"/>
      <w:caps/>
      <w:color w:val="940803"/>
      <w:sz w:val="24"/>
      <w:szCs w:val="24"/>
    </w:rPr>
  </w:style>
  <w:style w:type="paragraph" w:customStyle="1" w:styleId="BodyText01">
    <w:name w:val="Body Text 01"/>
    <w:basedOn w:val="Normal"/>
    <w:link w:val="BodyText01Char"/>
    <w:qFormat/>
    <w:rsid w:val="00D94D13"/>
    <w:pPr>
      <w:widowControl w:val="0"/>
      <w:spacing w:before="120" w:after="0"/>
    </w:pPr>
    <w:rPr>
      <w:rFonts w:ascii="Arial" w:eastAsia="Times New Roman" w:hAnsi="Arial" w:cs="Arial"/>
      <w:color w:val="585747"/>
      <w:sz w:val="20"/>
      <w:szCs w:val="24"/>
      <w:lang w:val="en"/>
    </w:rPr>
  </w:style>
  <w:style w:type="character" w:customStyle="1" w:styleId="BodyText01Char">
    <w:name w:val="Body Text 01 Char"/>
    <w:basedOn w:val="DefaultParagraphFont"/>
    <w:link w:val="BodyText01"/>
    <w:rsid w:val="00D94D13"/>
    <w:rPr>
      <w:rFonts w:ascii="Arial" w:eastAsia="Times New Roman" w:hAnsi="Arial" w:cs="Arial"/>
      <w:color w:val="585747"/>
      <w:sz w:val="20"/>
      <w:szCs w:val="24"/>
      <w:lang w:val="en"/>
    </w:rPr>
  </w:style>
  <w:style w:type="paragraph" w:styleId="BodyText">
    <w:name w:val="Body Text"/>
    <w:basedOn w:val="Normal"/>
    <w:link w:val="BodyTextChar"/>
    <w:rsid w:val="00EF3974"/>
    <w:pPr>
      <w:spacing w:after="24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F397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5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1D9"/>
  </w:style>
  <w:style w:type="paragraph" w:styleId="Footer">
    <w:name w:val="footer"/>
    <w:basedOn w:val="Normal"/>
    <w:link w:val="FooterChar"/>
    <w:uiPriority w:val="99"/>
    <w:unhideWhenUsed/>
    <w:rsid w:val="00215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1D9"/>
  </w:style>
  <w:style w:type="character" w:styleId="Hyperlink">
    <w:name w:val="Hyperlink"/>
    <w:basedOn w:val="DefaultParagraphFont"/>
    <w:uiPriority w:val="99"/>
    <w:unhideWhenUsed/>
    <w:rsid w:val="00695309"/>
    <w:rPr>
      <w:color w:val="0000FF" w:themeColor="hyperlink"/>
      <w:u w:val="single"/>
    </w:rPr>
  </w:style>
  <w:style w:type="paragraph" w:styleId="ListParagraph">
    <w:name w:val="List Paragraph"/>
    <w:basedOn w:val="Normal"/>
    <w:uiPriority w:val="34"/>
    <w:qFormat/>
    <w:rsid w:val="0066538C"/>
    <w:pPr>
      <w:ind w:left="720"/>
      <w:contextualSpacing/>
    </w:pPr>
    <w:rPr>
      <w:rFonts w:eastAsiaTheme="minorEastAsia"/>
    </w:rPr>
  </w:style>
  <w:style w:type="paragraph" w:styleId="NormalWeb">
    <w:name w:val="Normal (Web)"/>
    <w:basedOn w:val="Normal"/>
    <w:uiPriority w:val="99"/>
    <w:unhideWhenUsed/>
    <w:rsid w:val="00661CB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D09E5"/>
    <w:rPr>
      <w:i/>
      <w:iCs/>
    </w:rPr>
  </w:style>
  <w:style w:type="table" w:styleId="TableGrid">
    <w:name w:val="Table Grid"/>
    <w:basedOn w:val="TableNormal"/>
    <w:uiPriority w:val="59"/>
    <w:rsid w:val="006B1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163622">
      <w:bodyDiv w:val="1"/>
      <w:marLeft w:val="0"/>
      <w:marRight w:val="0"/>
      <w:marTop w:val="0"/>
      <w:marBottom w:val="0"/>
      <w:divBdr>
        <w:top w:val="none" w:sz="0" w:space="0" w:color="auto"/>
        <w:left w:val="none" w:sz="0" w:space="0" w:color="auto"/>
        <w:bottom w:val="none" w:sz="0" w:space="0" w:color="auto"/>
        <w:right w:val="none" w:sz="0" w:space="0" w:color="auto"/>
      </w:divBdr>
    </w:div>
    <w:div w:id="859470823">
      <w:bodyDiv w:val="1"/>
      <w:marLeft w:val="0"/>
      <w:marRight w:val="0"/>
      <w:marTop w:val="0"/>
      <w:marBottom w:val="0"/>
      <w:divBdr>
        <w:top w:val="none" w:sz="0" w:space="0" w:color="auto"/>
        <w:left w:val="none" w:sz="0" w:space="0" w:color="auto"/>
        <w:bottom w:val="none" w:sz="0" w:space="0" w:color="auto"/>
        <w:right w:val="none" w:sz="0" w:space="0" w:color="auto"/>
      </w:divBdr>
      <w:divsChild>
        <w:div w:id="118843290">
          <w:marLeft w:val="0"/>
          <w:marRight w:val="0"/>
          <w:marTop w:val="0"/>
          <w:marBottom w:val="0"/>
          <w:divBdr>
            <w:top w:val="none" w:sz="0" w:space="0" w:color="auto"/>
            <w:left w:val="none" w:sz="0" w:space="0" w:color="auto"/>
            <w:bottom w:val="none" w:sz="0" w:space="0" w:color="auto"/>
            <w:right w:val="none" w:sz="0" w:space="0" w:color="auto"/>
          </w:divBdr>
        </w:div>
      </w:divsChild>
    </w:div>
    <w:div w:id="184334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3.wdp"/><Relationship Id="rId1" Type="http://schemas.openxmlformats.org/officeDocument/2006/relationships/image" Target="media/image4.png"/><Relationship Id="rId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9945-D667-472A-9938-25F535C27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Polsinelli Shughart</Company>
  <LinksUpToDate>false</LinksUpToDate>
  <CharactersWithSpaces>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Pineda-Welch</dc:creator>
  <cp:lastModifiedBy>Antoine Thompson</cp:lastModifiedBy>
  <cp:revision>2</cp:revision>
  <cp:lastPrinted>2015-10-28T14:33:00Z</cp:lastPrinted>
  <dcterms:created xsi:type="dcterms:W3CDTF">2015-10-29T18:57:00Z</dcterms:created>
  <dcterms:modified xsi:type="dcterms:W3CDTF">2015-10-29T18:57:00Z</dcterms:modified>
</cp:coreProperties>
</file>